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562A4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7941E5C" w14:textId="77777777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 xml:space="preserve">Justin Adkins, </w:t>
      </w:r>
      <w:r w:rsidRPr="001F69FA">
        <w:rPr>
          <w:sz w:val="24"/>
          <w:szCs w:val="24"/>
        </w:rPr>
        <w:t>Attorney</w:t>
      </w:r>
    </w:p>
    <w:p w14:paraId="185D7CE7" w14:textId="77777777" w:rsidR="00D22E0E" w:rsidRPr="001F69FA" w:rsidRDefault="00D22E0E" w:rsidP="00D22E0E">
      <w:pPr>
        <w:ind w:left="720" w:firstLine="72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558D5659" w14:textId="77777777" w:rsidR="00D22E0E" w:rsidRPr="001F69FA" w:rsidRDefault="00D22E0E" w:rsidP="00D22E0E">
      <w:pPr>
        <w:rPr>
          <w:sz w:val="24"/>
          <w:szCs w:val="24"/>
        </w:rPr>
      </w:pPr>
    </w:p>
    <w:p w14:paraId="2A368986" w14:textId="77777777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Accountant/Auditor</w:t>
      </w:r>
    </w:p>
    <w:p w14:paraId="09469075" w14:textId="77777777" w:rsidR="00D22E0E" w:rsidRPr="001F69FA" w:rsidRDefault="00D22E0E" w:rsidP="00D22E0E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73208383" w14:textId="77777777" w:rsidR="00D22E0E" w:rsidRPr="001F69FA" w:rsidRDefault="00D22E0E" w:rsidP="00D22E0E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41621C78" w14:textId="0DCA334C" w:rsidR="00D22E0E" w:rsidRPr="001F69FA" w:rsidRDefault="00D22E0E" w:rsidP="00D22E0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C26EFBFE829647DAAF3967F40283D8A3"/>
          </w:placeholder>
          <w:text/>
        </w:sdtPr>
        <w:sdtEndPr/>
        <w:sdtContent>
          <w:r w:rsidR="006F50CF">
            <w:rPr>
              <w:sz w:val="24"/>
              <w:szCs w:val="24"/>
            </w:rPr>
            <w:t>October 20, 2020</w:t>
          </w:r>
        </w:sdtContent>
      </w:sdt>
    </w:p>
    <w:p w14:paraId="6BEB0660" w14:textId="77777777" w:rsidR="00D22E0E" w:rsidRPr="001F69FA" w:rsidRDefault="00D22E0E" w:rsidP="00D22E0E">
      <w:pPr>
        <w:ind w:left="1440" w:right="-450" w:hanging="1440"/>
        <w:rPr>
          <w:b/>
          <w:sz w:val="24"/>
          <w:szCs w:val="24"/>
        </w:rPr>
      </w:pPr>
    </w:p>
    <w:p w14:paraId="32608876" w14:textId="3E3B3316" w:rsidR="00D22E0E" w:rsidRPr="001F69FA" w:rsidRDefault="00D22E0E" w:rsidP="00CB32A6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518B4ED4C67A4681A5F9EB06B489242C"/>
          </w:placeholder>
        </w:sdtPr>
        <w:sdtEndPr/>
        <w:sdtContent>
          <w:r>
            <w:rPr>
              <w:b/>
              <w:sz w:val="24"/>
              <w:szCs w:val="24"/>
            </w:rPr>
            <w:t>51128</w:t>
          </w:r>
        </w:sdtContent>
      </w:sdt>
      <w:r w:rsidRPr="001F69F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Application</w:t>
      </w:r>
      <w:r>
        <w:rPr>
          <w:i/>
          <w:sz w:val="24"/>
          <w:szCs w:val="24"/>
        </w:rPr>
        <w:t xml:space="preserve"> of Harrison Williams and Manvel Terrace Utilities, Inc. For Water Utility Stock Transfer</w:t>
      </w:r>
    </w:p>
    <w:p w14:paraId="598F7226" w14:textId="6E125326" w:rsidR="008C469B" w:rsidRDefault="00D22E0E" w:rsidP="00D22E0E">
      <w:pPr>
        <w:ind w:left="1440" w:right="-450" w:hanging="1440"/>
        <w:rPr>
          <w:strike/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0CA827" wp14:editId="4B9BA9AC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560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UL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6kXMpPAxs0add&#10;wlJZzLM8Y4g1Z639hvKA6uCfwiOqn1F4XPfgO1OSn4+BsbOMqH6D5EMMXGQ7fkXNOcD8RatDS0Om&#10;ZBXEoVhyvFpiDkkovlzcfnh/M2Xn1CVWQX0BBorpi8FB5E0jYyKwXZ/W6D0bjzQrZWD/GFNuC+oL&#10;IFf1+GCdK/47L8ZG3i7miwKI6KzOwZwWqduuHYk95BdUvjIjR16nEe68LmS9Af35vE9g3WnPxZ0/&#10;S5PVOOm6RX3c0EUytrh0eX6O+Q29Phf0y0+z+gU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AW+hQv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1355FF07" w14:textId="2CBB5894" w:rsidR="00DA36E8" w:rsidRDefault="00DA36E8" w:rsidP="008C469B">
      <w:pPr>
        <w:tabs>
          <w:tab w:val="left" w:pos="1170"/>
        </w:tabs>
        <w:spacing w:after="120"/>
        <w:rPr>
          <w:sz w:val="24"/>
        </w:rPr>
      </w:pPr>
    </w:p>
    <w:p w14:paraId="55295C14" w14:textId="62030174" w:rsidR="00D22E0E" w:rsidRPr="00D22E0E" w:rsidRDefault="00D22E0E" w:rsidP="00D22E0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22E0E">
        <w:rPr>
          <w:rFonts w:eastAsiaTheme="minorHAnsi"/>
          <w:color w:val="000000"/>
          <w:sz w:val="24"/>
          <w:szCs w:val="24"/>
        </w:rPr>
        <w:t>On July 31, 2020, Harrison Williams</w:t>
      </w:r>
      <w:r w:rsidR="006973F3">
        <w:rPr>
          <w:rFonts w:eastAsiaTheme="minorHAnsi"/>
          <w:color w:val="000000"/>
          <w:sz w:val="24"/>
          <w:szCs w:val="24"/>
        </w:rPr>
        <w:t xml:space="preserve"> (Williams)</w:t>
      </w:r>
      <w:r w:rsidRPr="00D22E0E">
        <w:rPr>
          <w:rFonts w:eastAsiaTheme="minorHAnsi"/>
          <w:color w:val="000000"/>
          <w:sz w:val="24"/>
          <w:szCs w:val="24"/>
        </w:rPr>
        <w:t xml:space="preserve"> and Manvel Terrace Utilities, Inc.</w:t>
      </w:r>
      <w:r w:rsidR="006973F3">
        <w:rPr>
          <w:rFonts w:eastAsiaTheme="minorHAnsi"/>
          <w:color w:val="000000"/>
          <w:sz w:val="24"/>
          <w:szCs w:val="24"/>
        </w:rPr>
        <w:t xml:space="preserve"> (Manvel) (collectively, Applicants)</w:t>
      </w:r>
      <w:r w:rsidRPr="00D22E0E">
        <w:rPr>
          <w:rFonts w:eastAsiaTheme="minorHAnsi"/>
          <w:color w:val="000000"/>
          <w:sz w:val="24"/>
          <w:szCs w:val="24"/>
        </w:rPr>
        <w:t xml:space="preserve"> filed a request for approval </w:t>
      </w:r>
      <w:r w:rsidR="00C81D90">
        <w:rPr>
          <w:rFonts w:eastAsiaTheme="minorHAnsi"/>
          <w:color w:val="000000"/>
          <w:sz w:val="24"/>
          <w:szCs w:val="24"/>
        </w:rPr>
        <w:t>to</w:t>
      </w:r>
      <w:r w:rsidRPr="00D22E0E">
        <w:rPr>
          <w:sz w:val="24"/>
          <w:szCs w:val="24"/>
        </w:rPr>
        <w:t xml:space="preserve"> transfer of 100% of the stock and ownership interest in Manvel from Jennifer Jamison to Williams.  </w:t>
      </w:r>
      <w:r w:rsidR="001A1ABC">
        <w:rPr>
          <w:sz w:val="24"/>
          <w:szCs w:val="24"/>
        </w:rPr>
        <w:t xml:space="preserve">Upon approval of the application, </w:t>
      </w:r>
      <w:r w:rsidR="00C81D90">
        <w:rPr>
          <w:sz w:val="24"/>
          <w:szCs w:val="24"/>
        </w:rPr>
        <w:t xml:space="preserve">Williams </w:t>
      </w:r>
      <w:r w:rsidR="00270274">
        <w:rPr>
          <w:sz w:val="24"/>
          <w:szCs w:val="24"/>
        </w:rPr>
        <w:t xml:space="preserve">will </w:t>
      </w:r>
      <w:r w:rsidR="001A1ABC">
        <w:rPr>
          <w:sz w:val="24"/>
          <w:szCs w:val="24"/>
        </w:rPr>
        <w:t xml:space="preserve">assume </w:t>
      </w:r>
      <w:r w:rsidR="00C81D90">
        <w:rPr>
          <w:sz w:val="24"/>
          <w:szCs w:val="24"/>
        </w:rPr>
        <w:t xml:space="preserve">control </w:t>
      </w:r>
      <w:r w:rsidR="001A1ABC">
        <w:rPr>
          <w:sz w:val="24"/>
          <w:szCs w:val="24"/>
        </w:rPr>
        <w:t>of</w:t>
      </w:r>
      <w:r w:rsidR="00C81D90">
        <w:rPr>
          <w:sz w:val="24"/>
          <w:szCs w:val="24"/>
        </w:rPr>
        <w:t xml:space="preserve"> operations under </w:t>
      </w:r>
      <w:r w:rsidR="006973F3">
        <w:rPr>
          <w:sz w:val="24"/>
          <w:szCs w:val="24"/>
        </w:rPr>
        <w:t xml:space="preserve">Manvel’s water </w:t>
      </w:r>
      <w:r w:rsidR="00C81D90">
        <w:rPr>
          <w:sz w:val="24"/>
          <w:szCs w:val="24"/>
        </w:rPr>
        <w:t>Certificate of Convenience and Necessity</w:t>
      </w:r>
      <w:r w:rsidR="006973F3">
        <w:rPr>
          <w:sz w:val="24"/>
          <w:szCs w:val="24"/>
        </w:rPr>
        <w:t xml:space="preserve"> (CCN)</w:t>
      </w:r>
      <w:r w:rsidR="00C81D90">
        <w:rPr>
          <w:sz w:val="24"/>
          <w:szCs w:val="24"/>
        </w:rPr>
        <w:t xml:space="preserve"> No. </w:t>
      </w:r>
      <w:r w:rsidR="00C679A0">
        <w:rPr>
          <w:sz w:val="24"/>
          <w:szCs w:val="24"/>
        </w:rPr>
        <w:t>12080.</w:t>
      </w:r>
    </w:p>
    <w:p w14:paraId="2EBE44BB" w14:textId="77777777" w:rsidR="00D22E0E" w:rsidRPr="00D22E0E" w:rsidRDefault="00D22E0E" w:rsidP="00D22E0E">
      <w:pPr>
        <w:jc w:val="both"/>
        <w:rPr>
          <w:szCs w:val="24"/>
        </w:rPr>
      </w:pPr>
    </w:p>
    <w:p w14:paraId="4B97CB2E" w14:textId="63DFD90A" w:rsidR="004F46F2" w:rsidRPr="00D22E0E" w:rsidRDefault="004F46F2" w:rsidP="004F46F2">
      <w:pPr>
        <w:jc w:val="both"/>
        <w:rPr>
          <w:sz w:val="24"/>
          <w:szCs w:val="24"/>
        </w:rPr>
      </w:pPr>
      <w:r w:rsidRPr="00D22E0E">
        <w:rPr>
          <w:sz w:val="24"/>
          <w:szCs w:val="24"/>
        </w:rPr>
        <w:t xml:space="preserve">Based on </w:t>
      </w:r>
      <w:r>
        <w:rPr>
          <w:sz w:val="24"/>
          <w:szCs w:val="24"/>
        </w:rPr>
        <w:t>my</w:t>
      </w:r>
      <w:r w:rsidRPr="00D22E0E">
        <w:rPr>
          <w:sz w:val="24"/>
          <w:szCs w:val="24"/>
        </w:rPr>
        <w:t xml:space="preserve"> review of the application and the additional financial information </w:t>
      </w:r>
      <w:r>
        <w:rPr>
          <w:sz w:val="24"/>
          <w:szCs w:val="24"/>
        </w:rPr>
        <w:t>provided,</w:t>
      </w:r>
      <w:r w:rsidR="00DA0ADA">
        <w:rPr>
          <w:rStyle w:val="FootnoteReference"/>
          <w:sz w:val="24"/>
          <w:szCs w:val="24"/>
        </w:rPr>
        <w:footnoteReference w:id="1"/>
      </w:r>
      <w:r w:rsidRPr="00D22E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="009D641B">
        <w:rPr>
          <w:sz w:val="24"/>
          <w:szCs w:val="24"/>
        </w:rPr>
        <w:t>recommend</w:t>
      </w:r>
      <w:r>
        <w:rPr>
          <w:sz w:val="24"/>
          <w:szCs w:val="24"/>
        </w:rPr>
        <w:t xml:space="preserve"> that </w:t>
      </w:r>
      <w:r w:rsidRPr="00D22E0E">
        <w:rPr>
          <w:sz w:val="24"/>
          <w:szCs w:val="24"/>
        </w:rPr>
        <w:t>Williams has demonstrated adequate financial, managerial, and technical capability to provide continuous and adequate service to the area subject to this application. Th</w:t>
      </w:r>
      <w:r w:rsidR="00550B09">
        <w:rPr>
          <w:sz w:val="24"/>
          <w:szCs w:val="24"/>
        </w:rPr>
        <w:t>is</w:t>
      </w:r>
      <w:r w:rsidRPr="00D22E0E">
        <w:rPr>
          <w:sz w:val="24"/>
          <w:szCs w:val="24"/>
        </w:rPr>
        <w:t xml:space="preserve"> conclusion </w:t>
      </w:r>
      <w:r w:rsidR="00550B09">
        <w:rPr>
          <w:sz w:val="24"/>
          <w:szCs w:val="24"/>
        </w:rPr>
        <w:t>is</w:t>
      </w:r>
      <w:r w:rsidRPr="00D22E0E">
        <w:rPr>
          <w:sz w:val="24"/>
          <w:szCs w:val="24"/>
        </w:rPr>
        <w:t xml:space="preserve"> based on information provided by Williams prior to this date and </w:t>
      </w:r>
      <w:r w:rsidR="005B119B">
        <w:rPr>
          <w:sz w:val="24"/>
          <w:szCs w:val="24"/>
        </w:rPr>
        <w:t>do</w:t>
      </w:r>
      <w:r w:rsidR="00550B09">
        <w:rPr>
          <w:sz w:val="24"/>
          <w:szCs w:val="24"/>
        </w:rPr>
        <w:t>es</w:t>
      </w:r>
      <w:r w:rsidRPr="00D22E0E">
        <w:rPr>
          <w:sz w:val="24"/>
          <w:szCs w:val="24"/>
        </w:rPr>
        <w:t xml:space="preserve"> not reflect any changes in </w:t>
      </w:r>
      <w:r>
        <w:rPr>
          <w:sz w:val="24"/>
          <w:szCs w:val="24"/>
        </w:rPr>
        <w:t>his financial</w:t>
      </w:r>
      <w:r w:rsidRPr="00D22E0E">
        <w:rPr>
          <w:sz w:val="24"/>
          <w:szCs w:val="24"/>
        </w:rPr>
        <w:t xml:space="preserve"> status </w:t>
      </w:r>
      <w:r>
        <w:rPr>
          <w:sz w:val="24"/>
          <w:szCs w:val="24"/>
        </w:rPr>
        <w:t>after</w:t>
      </w:r>
      <w:r w:rsidRPr="00D22E0E">
        <w:rPr>
          <w:sz w:val="24"/>
          <w:szCs w:val="24"/>
        </w:rPr>
        <w:t xml:space="preserve"> this review. </w:t>
      </w:r>
    </w:p>
    <w:p w14:paraId="41A603D7" w14:textId="77777777" w:rsidR="004F46F2" w:rsidRDefault="004F46F2" w:rsidP="00D22E0E">
      <w:pPr>
        <w:jc w:val="both"/>
        <w:rPr>
          <w:sz w:val="24"/>
          <w:szCs w:val="24"/>
        </w:rPr>
      </w:pPr>
    </w:p>
    <w:p w14:paraId="2756527B" w14:textId="5B2EAAA1" w:rsidR="00C81D90" w:rsidRDefault="00E00F77" w:rsidP="00D22E0E">
      <w:pPr>
        <w:jc w:val="both"/>
        <w:rPr>
          <w:sz w:val="24"/>
          <w:szCs w:val="24"/>
        </w:rPr>
      </w:pPr>
      <w:r>
        <w:rPr>
          <w:sz w:val="24"/>
          <w:szCs w:val="24"/>
        </w:rPr>
        <w:t>I appl</w:t>
      </w:r>
      <w:r w:rsidR="004F46F2">
        <w:rPr>
          <w:sz w:val="24"/>
          <w:szCs w:val="24"/>
        </w:rPr>
        <w:t>ied</w:t>
      </w:r>
      <w:r>
        <w:rPr>
          <w:sz w:val="24"/>
          <w:szCs w:val="24"/>
        </w:rPr>
        <w:t xml:space="preserve"> the </w:t>
      </w:r>
      <w:r w:rsidR="00BC1A7A">
        <w:rPr>
          <w:sz w:val="24"/>
          <w:szCs w:val="24"/>
        </w:rPr>
        <w:t xml:space="preserve">standard set forth </w:t>
      </w:r>
      <w:r w:rsidR="001A1ABC">
        <w:rPr>
          <w:sz w:val="24"/>
          <w:szCs w:val="24"/>
        </w:rPr>
        <w:t xml:space="preserve">in </w:t>
      </w:r>
      <w:r w:rsidR="00814353">
        <w:rPr>
          <w:sz w:val="24"/>
          <w:szCs w:val="24"/>
        </w:rPr>
        <w:t>16 Texas Administrative Code (TAC) § 24.</w:t>
      </w:r>
      <w:r>
        <w:rPr>
          <w:sz w:val="24"/>
          <w:szCs w:val="24"/>
        </w:rPr>
        <w:t>243(b)</w:t>
      </w:r>
      <w:r w:rsidR="001A1ABC">
        <w:rPr>
          <w:sz w:val="24"/>
          <w:szCs w:val="24"/>
        </w:rPr>
        <w:t xml:space="preserve"> </w:t>
      </w:r>
      <w:r>
        <w:rPr>
          <w:sz w:val="24"/>
          <w:szCs w:val="24"/>
        </w:rPr>
        <w:t>which states</w:t>
      </w:r>
      <w:r w:rsidR="00BC1A7A">
        <w:rPr>
          <w:sz w:val="24"/>
          <w:szCs w:val="24"/>
        </w:rPr>
        <w:t>:</w:t>
      </w:r>
      <w:r w:rsidR="00814353">
        <w:rPr>
          <w:sz w:val="24"/>
          <w:szCs w:val="24"/>
        </w:rPr>
        <w:t xml:space="preserve"> </w:t>
      </w:r>
    </w:p>
    <w:p w14:paraId="2854C146" w14:textId="77777777" w:rsidR="006973F3" w:rsidRDefault="006973F3" w:rsidP="00D22E0E">
      <w:pPr>
        <w:jc w:val="both"/>
        <w:rPr>
          <w:sz w:val="24"/>
          <w:szCs w:val="24"/>
        </w:rPr>
      </w:pPr>
    </w:p>
    <w:p w14:paraId="1102435C" w14:textId="5E0F2936" w:rsidR="00C81D90" w:rsidRDefault="00814353" w:rsidP="00C81D90">
      <w:pPr>
        <w:ind w:left="900" w:right="810"/>
        <w:jc w:val="both"/>
        <w:rPr>
          <w:sz w:val="24"/>
          <w:szCs w:val="24"/>
        </w:rPr>
      </w:pPr>
      <w:r w:rsidRPr="00814353">
        <w:rPr>
          <w:sz w:val="24"/>
          <w:szCs w:val="24"/>
        </w:rPr>
        <w:t>A person acquiring a controlling interest in a utility is required to demonstrate adequate financial, managerial, and technical capability for providing continuous and adequate service to the requested area and to the person’s certificated service area, if any</w:t>
      </w:r>
      <w:r w:rsidR="00C81D90">
        <w:rPr>
          <w:sz w:val="24"/>
          <w:szCs w:val="24"/>
        </w:rPr>
        <w:t>.</w:t>
      </w:r>
    </w:p>
    <w:p w14:paraId="419BBF8C" w14:textId="0F1032E8" w:rsidR="00E00F77" w:rsidRDefault="00E00F77" w:rsidP="00C81D90">
      <w:pPr>
        <w:ind w:left="900" w:right="810"/>
        <w:jc w:val="both"/>
        <w:rPr>
          <w:sz w:val="24"/>
          <w:szCs w:val="24"/>
        </w:rPr>
      </w:pPr>
    </w:p>
    <w:p w14:paraId="7B7DA7F9" w14:textId="3D8EA6D2" w:rsidR="00E00F77" w:rsidRDefault="00E00F77" w:rsidP="00B16D26">
      <w:pPr>
        <w:ind w:right="8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4F46F2">
        <w:rPr>
          <w:sz w:val="24"/>
          <w:szCs w:val="24"/>
        </w:rPr>
        <w:t>al</w:t>
      </w:r>
      <w:r>
        <w:rPr>
          <w:sz w:val="24"/>
          <w:szCs w:val="24"/>
        </w:rPr>
        <w:t>so appl</w:t>
      </w:r>
      <w:r w:rsidR="004F46F2">
        <w:rPr>
          <w:sz w:val="24"/>
          <w:szCs w:val="24"/>
        </w:rPr>
        <w:t>ied</w:t>
      </w:r>
      <w:r>
        <w:rPr>
          <w:sz w:val="24"/>
          <w:szCs w:val="24"/>
        </w:rPr>
        <w:t xml:space="preserve"> the standards set forth in </w:t>
      </w:r>
      <w:r w:rsidR="005B119B">
        <w:rPr>
          <w:sz w:val="24"/>
          <w:szCs w:val="24"/>
        </w:rPr>
        <w:t xml:space="preserve">16 </w:t>
      </w:r>
      <w:r>
        <w:rPr>
          <w:sz w:val="24"/>
          <w:szCs w:val="24"/>
        </w:rPr>
        <w:t xml:space="preserve">TAC </w:t>
      </w:r>
      <w:r w:rsidR="005B119B">
        <w:rPr>
          <w:sz w:val="24"/>
          <w:szCs w:val="24"/>
        </w:rPr>
        <w:t>§</w:t>
      </w:r>
      <w:r>
        <w:rPr>
          <w:sz w:val="24"/>
          <w:szCs w:val="24"/>
        </w:rPr>
        <w:t>§</w:t>
      </w:r>
      <w:r w:rsidR="005B11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24.11(e)(1), </w:t>
      </w:r>
      <w:r w:rsidR="0049204D">
        <w:rPr>
          <w:sz w:val="24"/>
          <w:szCs w:val="24"/>
        </w:rPr>
        <w:t>(e)</w:t>
      </w:r>
      <w:r>
        <w:rPr>
          <w:sz w:val="24"/>
          <w:szCs w:val="24"/>
        </w:rPr>
        <w:t xml:space="preserve">(2)(A) and </w:t>
      </w:r>
      <w:r w:rsidR="0049204D">
        <w:rPr>
          <w:sz w:val="24"/>
          <w:szCs w:val="24"/>
        </w:rPr>
        <w:t>(e)</w:t>
      </w:r>
      <w:r>
        <w:rPr>
          <w:sz w:val="24"/>
          <w:szCs w:val="24"/>
        </w:rPr>
        <w:t xml:space="preserve">(3) </w:t>
      </w:r>
      <w:r w:rsidR="00B16D26">
        <w:rPr>
          <w:sz w:val="24"/>
          <w:szCs w:val="24"/>
        </w:rPr>
        <w:t>which state</w:t>
      </w:r>
      <w:r w:rsidR="004F46F2">
        <w:rPr>
          <w:sz w:val="24"/>
          <w:szCs w:val="24"/>
        </w:rPr>
        <w:t xml:space="preserve"> in part</w:t>
      </w:r>
      <w:r w:rsidR="00B16D26">
        <w:rPr>
          <w:sz w:val="24"/>
          <w:szCs w:val="24"/>
        </w:rPr>
        <w:t>:</w:t>
      </w:r>
    </w:p>
    <w:p w14:paraId="3425496C" w14:textId="157E8B61" w:rsidR="00B16D26" w:rsidRDefault="00B16D26" w:rsidP="00B16D26">
      <w:pPr>
        <w:ind w:right="810"/>
        <w:jc w:val="both"/>
        <w:rPr>
          <w:sz w:val="24"/>
          <w:szCs w:val="24"/>
        </w:rPr>
      </w:pPr>
    </w:p>
    <w:p w14:paraId="4ABD47C6" w14:textId="0BE297EB" w:rsidR="0099456E" w:rsidRPr="009513E7" w:rsidRDefault="00B16D26" w:rsidP="009513E7">
      <w:pPr>
        <w:pStyle w:val="ListParagraph"/>
        <w:numPr>
          <w:ilvl w:val="0"/>
          <w:numId w:val="2"/>
        </w:numPr>
        <w:ind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 xml:space="preserve">An owner or operator may demonstrate financial assurance by satisfying the leverage and operations tests that conform to the requirements of this </w:t>
      </w:r>
    </w:p>
    <w:p w14:paraId="00CFA9F7" w14:textId="77777777" w:rsidR="0099456E" w:rsidRDefault="0099456E" w:rsidP="0099456E">
      <w:pPr>
        <w:pStyle w:val="ListParagraph"/>
        <w:ind w:left="1260" w:right="810"/>
        <w:jc w:val="both"/>
        <w:rPr>
          <w:sz w:val="24"/>
          <w:szCs w:val="24"/>
        </w:rPr>
      </w:pPr>
    </w:p>
    <w:p w14:paraId="650E06B9" w14:textId="77777777" w:rsidR="0099456E" w:rsidRDefault="0099456E" w:rsidP="0099456E">
      <w:pPr>
        <w:pStyle w:val="ListParagraph"/>
        <w:ind w:left="1260" w:right="810"/>
        <w:jc w:val="both"/>
        <w:rPr>
          <w:sz w:val="24"/>
          <w:szCs w:val="24"/>
        </w:rPr>
      </w:pPr>
    </w:p>
    <w:p w14:paraId="0EC72148" w14:textId="6624C311" w:rsidR="0032516B" w:rsidRPr="009513E7" w:rsidRDefault="00B16D26" w:rsidP="009513E7">
      <w:pPr>
        <w:pStyle w:val="ListParagraph"/>
        <w:ind w:left="1260"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 xml:space="preserve">section, unless the commission finds good cause exists to require only one of these tests. </w:t>
      </w:r>
    </w:p>
    <w:p w14:paraId="52AF00F2" w14:textId="640535BD" w:rsidR="00323964" w:rsidRDefault="00323964" w:rsidP="00CB32A6">
      <w:pPr>
        <w:ind w:right="810"/>
        <w:jc w:val="both"/>
        <w:rPr>
          <w:sz w:val="24"/>
          <w:szCs w:val="24"/>
        </w:rPr>
      </w:pPr>
    </w:p>
    <w:p w14:paraId="11A6D650" w14:textId="0EEACD0B" w:rsidR="0099456E" w:rsidRPr="009513E7" w:rsidRDefault="00B16D26" w:rsidP="009513E7">
      <w:pPr>
        <w:pStyle w:val="ListParagraph"/>
        <w:numPr>
          <w:ilvl w:val="0"/>
          <w:numId w:val="2"/>
        </w:numPr>
        <w:ind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 xml:space="preserve">Leverage test. </w:t>
      </w:r>
      <w:r w:rsidR="00B33DDD" w:rsidRPr="009513E7">
        <w:rPr>
          <w:sz w:val="24"/>
          <w:szCs w:val="24"/>
        </w:rPr>
        <w:t xml:space="preserve"> </w:t>
      </w:r>
      <w:r w:rsidRPr="009513E7">
        <w:rPr>
          <w:sz w:val="24"/>
          <w:szCs w:val="24"/>
        </w:rPr>
        <w:t xml:space="preserve">To satisfy this test, the owner or operator must meet one </w:t>
      </w:r>
    </w:p>
    <w:p w14:paraId="13FECD46" w14:textId="10972659" w:rsidR="00B16D26" w:rsidRPr="009513E7" w:rsidRDefault="00B16D26" w:rsidP="009513E7">
      <w:pPr>
        <w:pStyle w:val="ListParagraph"/>
        <w:ind w:left="1260"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>or more of the following criteria:</w:t>
      </w:r>
    </w:p>
    <w:p w14:paraId="741391DD" w14:textId="2BD1AF20" w:rsidR="00503A67" w:rsidRDefault="00B16D26" w:rsidP="00B16D26">
      <w:pPr>
        <w:ind w:left="1440" w:right="810"/>
        <w:jc w:val="both"/>
        <w:rPr>
          <w:sz w:val="24"/>
          <w:szCs w:val="24"/>
        </w:rPr>
      </w:pPr>
      <w:r w:rsidRPr="00B16D26">
        <w:rPr>
          <w:sz w:val="24"/>
          <w:szCs w:val="24"/>
        </w:rPr>
        <w:t>(A) The owner or operator must have a debt to equity ratio of less than one, using long term debt and equity or net assets;</w:t>
      </w:r>
    </w:p>
    <w:p w14:paraId="6F3F61A1" w14:textId="77777777" w:rsidR="006973F3" w:rsidRDefault="006973F3" w:rsidP="00B10936">
      <w:pPr>
        <w:ind w:left="900" w:right="810"/>
        <w:jc w:val="both"/>
        <w:rPr>
          <w:sz w:val="24"/>
          <w:szCs w:val="24"/>
        </w:rPr>
      </w:pPr>
    </w:p>
    <w:p w14:paraId="571F337E" w14:textId="60C8DB16" w:rsidR="0099456E" w:rsidRPr="009513E7" w:rsidRDefault="00B16D26" w:rsidP="009513E7">
      <w:pPr>
        <w:pStyle w:val="ListParagraph"/>
        <w:numPr>
          <w:ilvl w:val="0"/>
          <w:numId w:val="2"/>
        </w:numPr>
        <w:ind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 xml:space="preserve">Operations test. </w:t>
      </w:r>
      <w:r w:rsidR="00B33DDD" w:rsidRPr="009513E7">
        <w:rPr>
          <w:sz w:val="24"/>
          <w:szCs w:val="24"/>
        </w:rPr>
        <w:t xml:space="preserve"> </w:t>
      </w:r>
      <w:r w:rsidRPr="009513E7">
        <w:rPr>
          <w:sz w:val="24"/>
          <w:szCs w:val="24"/>
        </w:rPr>
        <w:t xml:space="preserve">The owner or operator must demonstrate </w:t>
      </w:r>
      <w:proofErr w:type="gramStart"/>
      <w:r w:rsidRPr="009513E7">
        <w:rPr>
          <w:sz w:val="24"/>
          <w:szCs w:val="24"/>
        </w:rPr>
        <w:t>sufficient</w:t>
      </w:r>
      <w:proofErr w:type="gramEnd"/>
      <w:r w:rsidRPr="009513E7">
        <w:rPr>
          <w:sz w:val="24"/>
          <w:szCs w:val="24"/>
        </w:rPr>
        <w:t xml:space="preserve"> cash </w:t>
      </w:r>
    </w:p>
    <w:p w14:paraId="32B5C53B" w14:textId="5BF813DF" w:rsidR="00B16D26" w:rsidRPr="009513E7" w:rsidRDefault="00B16D26" w:rsidP="009513E7">
      <w:pPr>
        <w:pStyle w:val="ListParagraph"/>
        <w:ind w:left="1260" w:right="810"/>
        <w:jc w:val="both"/>
        <w:rPr>
          <w:sz w:val="24"/>
          <w:szCs w:val="24"/>
        </w:rPr>
      </w:pPr>
      <w:r w:rsidRPr="009513E7">
        <w:rPr>
          <w:sz w:val="24"/>
          <w:szCs w:val="24"/>
        </w:rPr>
        <w:t xml:space="preserve">is available to cover any projected operations and maintenance shortages in the first five years of operations. </w:t>
      </w:r>
      <w:r w:rsidR="00B33DDD" w:rsidRPr="009513E7">
        <w:rPr>
          <w:sz w:val="24"/>
          <w:szCs w:val="24"/>
        </w:rPr>
        <w:t xml:space="preserve"> </w:t>
      </w:r>
      <w:r w:rsidRPr="009513E7">
        <w:rPr>
          <w:sz w:val="24"/>
          <w:szCs w:val="24"/>
        </w:rPr>
        <w:t>An affiliated interest may provide a written guarantee of coverage of temporary cash shortages.</w:t>
      </w:r>
      <w:r w:rsidR="00B33DDD" w:rsidRPr="009513E7">
        <w:rPr>
          <w:sz w:val="24"/>
          <w:szCs w:val="24"/>
        </w:rPr>
        <w:t xml:space="preserve"> </w:t>
      </w:r>
      <w:r w:rsidRPr="009513E7">
        <w:rPr>
          <w:sz w:val="24"/>
          <w:szCs w:val="24"/>
        </w:rPr>
        <w:t xml:space="preserve"> The affiliated interest of the owner or operator must satisfy the leverage test. </w:t>
      </w:r>
    </w:p>
    <w:p w14:paraId="2C28FEDD" w14:textId="77777777" w:rsidR="00380145" w:rsidRPr="00D22E0E" w:rsidRDefault="00380145" w:rsidP="00380145">
      <w:pPr>
        <w:jc w:val="both"/>
        <w:rPr>
          <w:sz w:val="24"/>
          <w:szCs w:val="24"/>
        </w:rPr>
      </w:pPr>
    </w:p>
    <w:p w14:paraId="75E8EEB4" w14:textId="05CDB44F" w:rsidR="001A1ABC" w:rsidRDefault="00105B78" w:rsidP="00D22E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Williams owns and operates </w:t>
      </w:r>
      <w:r w:rsidRPr="00D22E0E">
        <w:rPr>
          <w:sz w:val="24"/>
          <w:szCs w:val="24"/>
        </w:rPr>
        <w:t>SP Utility Company, Inc.</w:t>
      </w:r>
      <w:r>
        <w:rPr>
          <w:sz w:val="24"/>
          <w:szCs w:val="24"/>
        </w:rPr>
        <w:t xml:space="preserve"> (SP</w:t>
      </w:r>
      <w:r w:rsidR="00B16D26">
        <w:rPr>
          <w:sz w:val="24"/>
          <w:szCs w:val="24"/>
        </w:rPr>
        <w:t xml:space="preserve"> Utility</w:t>
      </w:r>
      <w:r>
        <w:rPr>
          <w:sz w:val="24"/>
          <w:szCs w:val="24"/>
        </w:rPr>
        <w:t>)</w:t>
      </w:r>
      <w:r w:rsidR="00C679A0">
        <w:rPr>
          <w:sz w:val="24"/>
          <w:szCs w:val="24"/>
        </w:rPr>
        <w:t xml:space="preserve"> which holds CCN No. 12978</w:t>
      </w:r>
      <w:r w:rsidRPr="00D22E0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87727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D22E0E" w:rsidRPr="00D22E0E">
        <w:rPr>
          <w:sz w:val="24"/>
          <w:szCs w:val="24"/>
        </w:rPr>
        <w:t xml:space="preserve"> reviewed the annual financial reports for SP</w:t>
      </w:r>
      <w:r w:rsidR="00B16D26">
        <w:rPr>
          <w:sz w:val="24"/>
          <w:szCs w:val="24"/>
        </w:rPr>
        <w:t xml:space="preserve"> </w:t>
      </w:r>
      <w:r w:rsidR="00D22E0E" w:rsidRPr="00D22E0E">
        <w:rPr>
          <w:sz w:val="24"/>
          <w:szCs w:val="24"/>
        </w:rPr>
        <w:t>Utility for 2019</w:t>
      </w:r>
      <w:r w:rsidR="00D22E0E" w:rsidRPr="00D22E0E">
        <w:rPr>
          <w:sz w:val="24"/>
          <w:szCs w:val="24"/>
          <w:vertAlign w:val="superscript"/>
        </w:rPr>
        <w:footnoteReference w:id="2"/>
      </w:r>
      <w:r w:rsidR="00D22E0E" w:rsidRPr="00D22E0E">
        <w:rPr>
          <w:sz w:val="24"/>
          <w:szCs w:val="24"/>
        </w:rPr>
        <w:t xml:space="preserve"> and 2018</w:t>
      </w:r>
      <w:r>
        <w:rPr>
          <w:sz w:val="24"/>
          <w:szCs w:val="24"/>
        </w:rPr>
        <w:t>.</w:t>
      </w:r>
      <w:r w:rsidR="00D22E0E" w:rsidRPr="00D22E0E">
        <w:rPr>
          <w:sz w:val="24"/>
          <w:szCs w:val="24"/>
          <w:vertAlign w:val="superscript"/>
        </w:rPr>
        <w:footnoteReference w:id="3"/>
      </w:r>
      <w:r w:rsidR="00D22E0E" w:rsidRPr="00D22E0E">
        <w:rPr>
          <w:sz w:val="24"/>
          <w:szCs w:val="24"/>
        </w:rPr>
        <w:t xml:space="preserve">  The </w:t>
      </w:r>
      <w:r>
        <w:rPr>
          <w:sz w:val="24"/>
          <w:szCs w:val="24"/>
        </w:rPr>
        <w:t>i</w:t>
      </w:r>
      <w:r w:rsidR="00D22E0E" w:rsidRPr="00D22E0E">
        <w:rPr>
          <w:sz w:val="24"/>
          <w:szCs w:val="24"/>
        </w:rPr>
        <w:t xml:space="preserve">ncome </w:t>
      </w:r>
      <w:r>
        <w:rPr>
          <w:sz w:val="24"/>
          <w:szCs w:val="24"/>
        </w:rPr>
        <w:t>s</w:t>
      </w:r>
      <w:r w:rsidR="00D22E0E" w:rsidRPr="00D22E0E">
        <w:rPr>
          <w:sz w:val="24"/>
          <w:szCs w:val="24"/>
        </w:rPr>
        <w:t xml:space="preserve">tatement </w:t>
      </w:r>
      <w:r w:rsidR="00503A67">
        <w:rPr>
          <w:sz w:val="24"/>
          <w:szCs w:val="24"/>
        </w:rPr>
        <w:t>reported</w:t>
      </w:r>
      <w:r w:rsidR="00D22E0E" w:rsidRPr="00D22E0E">
        <w:rPr>
          <w:sz w:val="24"/>
          <w:szCs w:val="24"/>
        </w:rPr>
        <w:t xml:space="preserve"> net income of $20,783</w:t>
      </w:r>
      <w:r w:rsidR="00A070DD">
        <w:rPr>
          <w:rStyle w:val="FootnoteReference"/>
          <w:sz w:val="24"/>
          <w:szCs w:val="24"/>
        </w:rPr>
        <w:footnoteReference w:id="4"/>
      </w:r>
      <w:r w:rsidR="00D22E0E" w:rsidRPr="00D22E0E">
        <w:rPr>
          <w:sz w:val="24"/>
          <w:szCs w:val="24"/>
        </w:rPr>
        <w:t xml:space="preserve"> and $15,7</w:t>
      </w:r>
      <w:bookmarkStart w:id="1" w:name="_GoBack"/>
      <w:bookmarkEnd w:id="1"/>
      <w:r w:rsidR="00D22E0E" w:rsidRPr="00D22E0E">
        <w:rPr>
          <w:sz w:val="24"/>
          <w:szCs w:val="24"/>
        </w:rPr>
        <w:t>65</w:t>
      </w:r>
      <w:r w:rsidR="00A070DD">
        <w:rPr>
          <w:rStyle w:val="FootnoteReference"/>
          <w:sz w:val="24"/>
          <w:szCs w:val="24"/>
        </w:rPr>
        <w:footnoteReference w:id="5"/>
      </w:r>
      <w:r w:rsidR="00D22E0E" w:rsidRPr="00D22E0E">
        <w:rPr>
          <w:sz w:val="24"/>
          <w:szCs w:val="24"/>
        </w:rPr>
        <w:t xml:space="preserve"> for 2019 and 2018, respectively.  </w:t>
      </w:r>
      <w:r>
        <w:rPr>
          <w:sz w:val="24"/>
          <w:szCs w:val="24"/>
        </w:rPr>
        <w:t>T</w:t>
      </w:r>
      <w:r w:rsidR="00D22E0E" w:rsidRPr="00D22E0E">
        <w:rPr>
          <w:sz w:val="24"/>
          <w:szCs w:val="24"/>
        </w:rPr>
        <w:t xml:space="preserve">he </w:t>
      </w:r>
      <w:r w:rsidR="004A2378">
        <w:rPr>
          <w:sz w:val="24"/>
          <w:szCs w:val="24"/>
        </w:rPr>
        <w:t>b</w:t>
      </w:r>
      <w:r w:rsidR="00D22E0E" w:rsidRPr="00D22E0E">
        <w:rPr>
          <w:sz w:val="24"/>
          <w:szCs w:val="24"/>
        </w:rPr>
        <w:t xml:space="preserve">alance </w:t>
      </w:r>
      <w:r w:rsidR="004A2378">
        <w:rPr>
          <w:sz w:val="24"/>
          <w:szCs w:val="24"/>
        </w:rPr>
        <w:t>s</w:t>
      </w:r>
      <w:r w:rsidR="00D22E0E" w:rsidRPr="00D22E0E">
        <w:rPr>
          <w:sz w:val="24"/>
          <w:szCs w:val="24"/>
        </w:rPr>
        <w:t xml:space="preserve">heet for the year ended December 31, 2019 </w:t>
      </w:r>
      <w:r w:rsidR="00503A67">
        <w:rPr>
          <w:sz w:val="24"/>
          <w:szCs w:val="24"/>
        </w:rPr>
        <w:t>reported</w:t>
      </w:r>
      <w:r w:rsidR="00D22E0E" w:rsidRPr="00D22E0E">
        <w:rPr>
          <w:sz w:val="24"/>
          <w:szCs w:val="24"/>
        </w:rPr>
        <w:t xml:space="preserve"> long-term debt of $93,500</w:t>
      </w:r>
      <w:r w:rsidR="00A070DD">
        <w:rPr>
          <w:rStyle w:val="FootnoteReference"/>
          <w:sz w:val="24"/>
          <w:szCs w:val="24"/>
        </w:rPr>
        <w:footnoteReference w:id="6"/>
      </w:r>
      <w:r w:rsidR="00503A67">
        <w:rPr>
          <w:sz w:val="24"/>
          <w:szCs w:val="24"/>
        </w:rPr>
        <w:t xml:space="preserve"> and</w:t>
      </w:r>
      <w:r w:rsidR="00D22E0E" w:rsidRPr="00D22E0E">
        <w:rPr>
          <w:sz w:val="24"/>
          <w:szCs w:val="24"/>
        </w:rPr>
        <w:t xml:space="preserve"> equity of $604,800</w:t>
      </w:r>
      <w:r w:rsidR="00A070DD">
        <w:rPr>
          <w:rStyle w:val="FootnoteReference"/>
          <w:sz w:val="24"/>
          <w:szCs w:val="24"/>
        </w:rPr>
        <w:footnoteReference w:id="7"/>
      </w:r>
      <w:r w:rsidR="00D22E0E" w:rsidRPr="00D22E0E">
        <w:rPr>
          <w:sz w:val="24"/>
          <w:szCs w:val="24"/>
        </w:rPr>
        <w:t xml:space="preserve"> </w:t>
      </w:r>
      <w:r w:rsidR="004A2378">
        <w:rPr>
          <w:sz w:val="24"/>
          <w:szCs w:val="24"/>
        </w:rPr>
        <w:t>resulting in</w:t>
      </w:r>
      <w:r w:rsidR="00D22E0E" w:rsidRPr="00D22E0E">
        <w:rPr>
          <w:sz w:val="24"/>
          <w:szCs w:val="24"/>
        </w:rPr>
        <w:t xml:space="preserve"> a debt </w:t>
      </w:r>
      <w:r w:rsidR="00503A67">
        <w:rPr>
          <w:sz w:val="24"/>
          <w:szCs w:val="24"/>
        </w:rPr>
        <w:t xml:space="preserve">to </w:t>
      </w:r>
      <w:r w:rsidR="00D22E0E" w:rsidRPr="00D22E0E">
        <w:rPr>
          <w:sz w:val="24"/>
          <w:szCs w:val="24"/>
        </w:rPr>
        <w:t>equity ratio of 0.1</w:t>
      </w:r>
      <w:r w:rsidR="002162E8">
        <w:rPr>
          <w:sz w:val="24"/>
          <w:szCs w:val="24"/>
        </w:rPr>
        <w:t>5</w:t>
      </w:r>
      <w:r w:rsidR="00D22E0E" w:rsidRPr="00D22E0E">
        <w:rPr>
          <w:sz w:val="24"/>
          <w:szCs w:val="24"/>
        </w:rPr>
        <w:t xml:space="preserve">.  </w:t>
      </w:r>
      <w:r w:rsidR="00603015">
        <w:rPr>
          <w:sz w:val="24"/>
          <w:szCs w:val="24"/>
        </w:rPr>
        <w:t>Therefore, Williams meets the leverage test specified in 16 TAC § 24.11</w:t>
      </w:r>
      <w:r w:rsidR="00BC1A7A">
        <w:rPr>
          <w:sz w:val="24"/>
          <w:szCs w:val="24"/>
        </w:rPr>
        <w:t>(e)(2)(</w:t>
      </w:r>
      <w:r w:rsidR="00503A67">
        <w:rPr>
          <w:sz w:val="24"/>
          <w:szCs w:val="24"/>
        </w:rPr>
        <w:t>A</w:t>
      </w:r>
      <w:r w:rsidR="00BC1A7A">
        <w:rPr>
          <w:sz w:val="24"/>
          <w:szCs w:val="24"/>
        </w:rPr>
        <w:t>)</w:t>
      </w:r>
      <w:r w:rsidR="00603015">
        <w:rPr>
          <w:sz w:val="24"/>
          <w:szCs w:val="24"/>
        </w:rPr>
        <w:t xml:space="preserve">. </w:t>
      </w:r>
    </w:p>
    <w:p w14:paraId="7BDE0672" w14:textId="77777777" w:rsidR="001A1ABC" w:rsidRDefault="001A1ABC" w:rsidP="00D22E0E">
      <w:pPr>
        <w:jc w:val="both"/>
        <w:rPr>
          <w:sz w:val="24"/>
          <w:szCs w:val="24"/>
        </w:rPr>
      </w:pPr>
    </w:p>
    <w:p w14:paraId="7102AC9E" w14:textId="3F8AE748" w:rsidR="00D22E0E" w:rsidRPr="00D22E0E" w:rsidRDefault="005157C6" w:rsidP="00D22E0E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1A1ABC">
        <w:rPr>
          <w:sz w:val="24"/>
          <w:szCs w:val="24"/>
        </w:rPr>
        <w:t>o</w:t>
      </w:r>
      <w:r>
        <w:rPr>
          <w:sz w:val="24"/>
          <w:szCs w:val="24"/>
        </w:rPr>
        <w:t xml:space="preserve"> operating shortages </w:t>
      </w:r>
      <w:r w:rsidR="001A1ABC">
        <w:rPr>
          <w:sz w:val="24"/>
          <w:szCs w:val="24"/>
        </w:rPr>
        <w:t xml:space="preserve">are expected in the future based on the historical profits of </w:t>
      </w:r>
      <w:r w:rsidR="00B16D26">
        <w:rPr>
          <w:sz w:val="24"/>
          <w:szCs w:val="24"/>
        </w:rPr>
        <w:t>SP Utility.</w:t>
      </w:r>
      <w:r>
        <w:rPr>
          <w:sz w:val="24"/>
          <w:szCs w:val="24"/>
        </w:rPr>
        <w:t xml:space="preserve"> </w:t>
      </w:r>
      <w:r w:rsidR="001A1ABC">
        <w:rPr>
          <w:sz w:val="24"/>
          <w:szCs w:val="24"/>
        </w:rPr>
        <w:t xml:space="preserve"> </w:t>
      </w:r>
      <w:r w:rsidR="00B16D26">
        <w:rPr>
          <w:sz w:val="24"/>
          <w:szCs w:val="24"/>
        </w:rPr>
        <w:t xml:space="preserve">Therefore, </w:t>
      </w:r>
      <w:r w:rsidR="001A1ABC">
        <w:rPr>
          <w:sz w:val="24"/>
          <w:szCs w:val="24"/>
        </w:rPr>
        <w:t xml:space="preserve">Williams meets the operations test </w:t>
      </w:r>
      <w:r>
        <w:rPr>
          <w:sz w:val="24"/>
          <w:szCs w:val="24"/>
        </w:rPr>
        <w:t xml:space="preserve">required by 16 TAC </w:t>
      </w:r>
      <w:r w:rsidR="00BC1A7A">
        <w:rPr>
          <w:sz w:val="24"/>
          <w:szCs w:val="24"/>
        </w:rPr>
        <w:t>§ 24.11(e)(3)</w:t>
      </w:r>
      <w:r w:rsidR="001A1ABC">
        <w:rPr>
          <w:sz w:val="24"/>
          <w:szCs w:val="24"/>
        </w:rPr>
        <w:t xml:space="preserve">. </w:t>
      </w:r>
    </w:p>
    <w:p w14:paraId="7DC4EA1E" w14:textId="77777777" w:rsidR="001A1ABC" w:rsidRDefault="001A1ABC" w:rsidP="00D22E0E">
      <w:pPr>
        <w:jc w:val="both"/>
        <w:rPr>
          <w:sz w:val="24"/>
          <w:szCs w:val="24"/>
        </w:rPr>
      </w:pPr>
    </w:p>
    <w:p w14:paraId="0EA51C1E" w14:textId="1C4DD2C0" w:rsidR="00D22E0E" w:rsidRPr="00D22E0E" w:rsidRDefault="00D22E0E" w:rsidP="00D22E0E">
      <w:pPr>
        <w:jc w:val="both"/>
        <w:rPr>
          <w:sz w:val="24"/>
          <w:szCs w:val="24"/>
        </w:rPr>
      </w:pPr>
      <w:r w:rsidRPr="00D22E0E">
        <w:rPr>
          <w:sz w:val="24"/>
          <w:szCs w:val="24"/>
        </w:rPr>
        <w:t>I recommend that the Commission find that the change of ownership requested in this application is in the public interest and that the Commission approve the transaction.</w:t>
      </w:r>
      <w:r w:rsidR="00503A67">
        <w:rPr>
          <w:sz w:val="24"/>
          <w:szCs w:val="24"/>
        </w:rPr>
        <w:t xml:space="preserve"> </w:t>
      </w:r>
    </w:p>
    <w:p w14:paraId="6F3461F8" w14:textId="77777777" w:rsidR="00D22E0E" w:rsidRPr="00D22E0E" w:rsidRDefault="00D22E0E" w:rsidP="00D22E0E">
      <w:pPr>
        <w:jc w:val="both"/>
        <w:rPr>
          <w:sz w:val="24"/>
          <w:szCs w:val="24"/>
        </w:rPr>
      </w:pPr>
    </w:p>
    <w:p w14:paraId="479F5457" w14:textId="77777777" w:rsidR="00D22E0E" w:rsidRPr="00D22E0E" w:rsidRDefault="00D22E0E" w:rsidP="00D22E0E">
      <w:pPr>
        <w:jc w:val="both"/>
        <w:rPr>
          <w:sz w:val="24"/>
          <w:szCs w:val="24"/>
        </w:rPr>
      </w:pPr>
    </w:p>
    <w:sectPr w:rsidR="00D22E0E" w:rsidRPr="00D22E0E" w:rsidSect="00CB32A6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E7E94" w14:textId="77777777" w:rsidR="00C61997" w:rsidRDefault="00C61997">
      <w:r>
        <w:separator/>
      </w:r>
    </w:p>
  </w:endnote>
  <w:endnote w:type="continuationSeparator" w:id="0">
    <w:p w14:paraId="7C2D60B6" w14:textId="77777777" w:rsidR="00C61997" w:rsidRDefault="00C6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CA3C0" w14:textId="77777777" w:rsidR="00C61997" w:rsidRDefault="00C61997">
      <w:r>
        <w:separator/>
      </w:r>
    </w:p>
  </w:footnote>
  <w:footnote w:type="continuationSeparator" w:id="0">
    <w:p w14:paraId="77EF1FF8" w14:textId="77777777" w:rsidR="00C61997" w:rsidRDefault="00C61997">
      <w:r>
        <w:continuationSeparator/>
      </w:r>
    </w:p>
  </w:footnote>
  <w:footnote w:id="1">
    <w:p w14:paraId="3DD03B8A" w14:textId="3F05B944" w:rsidR="00DA0ADA" w:rsidRPr="000A4426" w:rsidRDefault="00DA0ADA" w:rsidP="00CB32A6">
      <w:pPr>
        <w:pStyle w:val="FootnoteText"/>
        <w:ind w:firstLine="720"/>
        <w:rPr>
          <w:rFonts w:ascii="Times New Roman" w:hAnsi="Times New Roman" w:cs="Times New Roman"/>
        </w:rPr>
      </w:pPr>
      <w:r w:rsidRPr="000A4426">
        <w:rPr>
          <w:rStyle w:val="FootnoteReference"/>
          <w:rFonts w:ascii="Times New Roman" w:hAnsi="Times New Roman" w:cs="Times New Roman"/>
        </w:rPr>
        <w:footnoteRef/>
      </w:r>
      <w:r w:rsidRPr="000A4426">
        <w:rPr>
          <w:rFonts w:ascii="Times New Roman" w:hAnsi="Times New Roman" w:cs="Times New Roman"/>
        </w:rPr>
        <w:t xml:space="preserve">  </w:t>
      </w:r>
      <w:r w:rsidR="00C2311A">
        <w:rPr>
          <w:rFonts w:ascii="Times New Roman" w:hAnsi="Times New Roman" w:cs="Times New Roman"/>
        </w:rPr>
        <w:t>Supplemental Information Regarding Case</w:t>
      </w:r>
      <w:r w:rsidR="009D34D5" w:rsidRPr="000A4426">
        <w:rPr>
          <w:rFonts w:ascii="Times New Roman" w:hAnsi="Times New Roman" w:cs="Times New Roman"/>
        </w:rPr>
        <w:t xml:space="preserve"> (Oct</w:t>
      </w:r>
      <w:r w:rsidR="00C2311A">
        <w:rPr>
          <w:rFonts w:ascii="Times New Roman" w:hAnsi="Times New Roman" w:cs="Times New Roman"/>
        </w:rPr>
        <w:t>.</w:t>
      </w:r>
      <w:r w:rsidR="009D34D5" w:rsidRPr="000A4426">
        <w:rPr>
          <w:rFonts w:ascii="Times New Roman" w:hAnsi="Times New Roman" w:cs="Times New Roman"/>
        </w:rPr>
        <w:t xml:space="preserve"> 5, 2020).</w:t>
      </w:r>
    </w:p>
  </w:footnote>
  <w:footnote w:id="2">
    <w:p w14:paraId="46736127" w14:textId="01561A90" w:rsidR="00D22E0E" w:rsidRPr="00B10936" w:rsidRDefault="00D22E0E" w:rsidP="00CB32A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B10936">
        <w:rPr>
          <w:rStyle w:val="FootnoteReference"/>
          <w:rFonts w:ascii="Times New Roman" w:hAnsi="Times New Roman" w:cs="Times New Roman"/>
        </w:rPr>
        <w:footnoteRef/>
      </w:r>
      <w:r w:rsidRPr="00B10936">
        <w:rPr>
          <w:rFonts w:ascii="Times New Roman" w:hAnsi="Times New Roman" w:cs="Times New Roman"/>
        </w:rPr>
        <w:t xml:space="preserve"> </w:t>
      </w:r>
      <w:bookmarkStart w:id="0" w:name="_Hlk53684294"/>
      <w:r w:rsidR="006973F3">
        <w:rPr>
          <w:rFonts w:ascii="Times New Roman" w:hAnsi="Times New Roman" w:cs="Times New Roman"/>
        </w:rPr>
        <w:t xml:space="preserve"> </w:t>
      </w:r>
      <w:r w:rsidR="000947D1" w:rsidRPr="009513E7">
        <w:rPr>
          <w:rFonts w:ascii="Times New Roman" w:hAnsi="Times New Roman" w:cs="Times New Roman"/>
          <w:i/>
          <w:iCs/>
        </w:rPr>
        <w:t xml:space="preserve">2019 </w:t>
      </w:r>
      <w:r w:rsidR="000947D1" w:rsidRPr="00F3142D">
        <w:rPr>
          <w:rFonts w:ascii="Times New Roman" w:hAnsi="Times New Roman" w:cs="Times New Roman"/>
          <w:i/>
          <w:iCs/>
        </w:rPr>
        <w:t>A</w:t>
      </w:r>
      <w:r w:rsidR="000947D1" w:rsidRPr="00B10936">
        <w:rPr>
          <w:rFonts w:ascii="Times New Roman" w:hAnsi="Times New Roman" w:cs="Times New Roman"/>
          <w:i/>
          <w:iCs/>
        </w:rPr>
        <w:t>nnual Reports of Water and Wastewater Utilitie</w:t>
      </w:r>
      <w:r w:rsidR="000947D1">
        <w:rPr>
          <w:rFonts w:ascii="Times New Roman" w:hAnsi="Times New Roman" w:cs="Times New Roman"/>
          <w:i/>
          <w:iCs/>
        </w:rPr>
        <w:t>s</w:t>
      </w:r>
      <w:r w:rsidR="000947D1" w:rsidRPr="00B10936">
        <w:rPr>
          <w:rFonts w:ascii="Times New Roman" w:hAnsi="Times New Roman" w:cs="Times New Roman"/>
        </w:rPr>
        <w:t>,</w:t>
      </w:r>
      <w:r w:rsidR="000947D1">
        <w:rPr>
          <w:rFonts w:ascii="Times New Roman" w:hAnsi="Times New Roman" w:cs="Times New Roman"/>
        </w:rPr>
        <w:t xml:space="preserve"> </w:t>
      </w:r>
      <w:r w:rsidR="00C679A0">
        <w:rPr>
          <w:rFonts w:ascii="Times New Roman" w:hAnsi="Times New Roman" w:cs="Times New Roman"/>
        </w:rPr>
        <w:t>Project</w:t>
      </w:r>
      <w:r w:rsidRPr="00490CEC">
        <w:rPr>
          <w:rFonts w:ascii="Times New Roman" w:hAnsi="Times New Roman" w:cs="Times New Roman"/>
        </w:rPr>
        <w:t xml:space="preserve"> No. 50316</w:t>
      </w:r>
      <w:r w:rsidR="005157C6">
        <w:rPr>
          <w:rFonts w:ascii="Times New Roman" w:hAnsi="Times New Roman" w:cs="Times New Roman"/>
        </w:rPr>
        <w:t xml:space="preserve">, </w:t>
      </w:r>
      <w:r w:rsidR="00DA0ADA">
        <w:rPr>
          <w:rFonts w:ascii="Times New Roman" w:hAnsi="Times New Roman" w:cs="Times New Roman"/>
        </w:rPr>
        <w:t>2019 Annual Report</w:t>
      </w:r>
      <w:r w:rsidR="00596669">
        <w:rPr>
          <w:rFonts w:ascii="Times New Roman" w:hAnsi="Times New Roman" w:cs="Times New Roman"/>
        </w:rPr>
        <w:t xml:space="preserve"> </w:t>
      </w:r>
      <w:r w:rsidR="000947D1">
        <w:rPr>
          <w:rFonts w:ascii="Times New Roman" w:hAnsi="Times New Roman" w:cs="Times New Roman"/>
        </w:rPr>
        <w:t>(</w:t>
      </w:r>
      <w:r w:rsidRPr="00B10936">
        <w:rPr>
          <w:rFonts w:ascii="Times New Roman" w:hAnsi="Times New Roman" w:cs="Times New Roman"/>
        </w:rPr>
        <w:t>Ap</w:t>
      </w:r>
      <w:r w:rsidR="000947D1">
        <w:rPr>
          <w:rFonts w:ascii="Times New Roman" w:hAnsi="Times New Roman" w:cs="Times New Roman"/>
        </w:rPr>
        <w:t>r</w:t>
      </w:r>
      <w:r w:rsidRPr="00B10936">
        <w:rPr>
          <w:rFonts w:ascii="Times New Roman" w:hAnsi="Times New Roman" w:cs="Times New Roman"/>
        </w:rPr>
        <w:t xml:space="preserve"> 20, 2020</w:t>
      </w:r>
      <w:r w:rsidR="009513E7">
        <w:rPr>
          <w:rFonts w:ascii="Times New Roman" w:hAnsi="Times New Roman" w:cs="Times New Roman"/>
        </w:rPr>
        <w:t>)</w:t>
      </w:r>
      <w:r w:rsidR="00596669">
        <w:rPr>
          <w:rFonts w:ascii="Times New Roman" w:hAnsi="Times New Roman" w:cs="Times New Roman"/>
        </w:rPr>
        <w:t>.</w:t>
      </w:r>
      <w:r w:rsidRPr="00B10936">
        <w:rPr>
          <w:rFonts w:ascii="Times New Roman" w:hAnsi="Times New Roman" w:cs="Times New Roman"/>
        </w:rPr>
        <w:t xml:space="preserve"> </w:t>
      </w:r>
      <w:bookmarkEnd w:id="0"/>
    </w:p>
  </w:footnote>
  <w:footnote w:id="3">
    <w:p w14:paraId="5362DCF3" w14:textId="124E3C8A" w:rsidR="00D22E0E" w:rsidRDefault="00D22E0E" w:rsidP="00CB32A6">
      <w:pPr>
        <w:pStyle w:val="FootnoteText"/>
        <w:spacing w:after="120"/>
        <w:ind w:firstLine="720"/>
        <w:jc w:val="both"/>
      </w:pPr>
      <w:r w:rsidRPr="00B10936">
        <w:rPr>
          <w:rStyle w:val="FootnoteReference"/>
          <w:rFonts w:ascii="Times New Roman" w:hAnsi="Times New Roman" w:cs="Times New Roman"/>
        </w:rPr>
        <w:footnoteRef/>
      </w:r>
      <w:r w:rsidR="006973F3">
        <w:rPr>
          <w:rFonts w:ascii="Times New Roman" w:hAnsi="Times New Roman" w:cs="Times New Roman"/>
        </w:rPr>
        <w:t xml:space="preserve"> </w:t>
      </w:r>
      <w:r w:rsidRPr="00B10936">
        <w:rPr>
          <w:rFonts w:ascii="Times New Roman" w:hAnsi="Times New Roman" w:cs="Times New Roman"/>
        </w:rPr>
        <w:t xml:space="preserve"> </w:t>
      </w:r>
      <w:r w:rsidR="000947D1" w:rsidRPr="00EF5E2D">
        <w:rPr>
          <w:rFonts w:ascii="Times New Roman" w:hAnsi="Times New Roman" w:cs="Times New Roman"/>
          <w:i/>
          <w:iCs/>
        </w:rPr>
        <w:t>201</w:t>
      </w:r>
      <w:r w:rsidR="000947D1">
        <w:rPr>
          <w:rFonts w:ascii="Times New Roman" w:hAnsi="Times New Roman" w:cs="Times New Roman"/>
          <w:i/>
          <w:iCs/>
        </w:rPr>
        <w:t>8</w:t>
      </w:r>
      <w:r w:rsidR="000947D1" w:rsidRPr="00EF5E2D">
        <w:rPr>
          <w:rFonts w:ascii="Times New Roman" w:hAnsi="Times New Roman" w:cs="Times New Roman"/>
          <w:i/>
          <w:iCs/>
        </w:rPr>
        <w:t xml:space="preserve"> Annual Reports of Water and Wastewater Utilities</w:t>
      </w:r>
      <w:r w:rsidR="000947D1" w:rsidRPr="009513E7">
        <w:rPr>
          <w:rFonts w:ascii="Times New Roman" w:hAnsi="Times New Roman" w:cs="Times New Roman"/>
          <w:i/>
          <w:iCs/>
        </w:rPr>
        <w:t>,</w:t>
      </w:r>
      <w:r w:rsidR="000947D1">
        <w:rPr>
          <w:rFonts w:ascii="Times New Roman" w:hAnsi="Times New Roman" w:cs="Times New Roman"/>
        </w:rPr>
        <w:t xml:space="preserve"> </w:t>
      </w:r>
      <w:r w:rsidR="00C679A0">
        <w:rPr>
          <w:rFonts w:ascii="Times New Roman" w:hAnsi="Times New Roman" w:cs="Times New Roman"/>
        </w:rPr>
        <w:t>Project</w:t>
      </w:r>
      <w:r w:rsidR="00C679A0" w:rsidRPr="00657BB0">
        <w:rPr>
          <w:rFonts w:ascii="Times New Roman" w:hAnsi="Times New Roman" w:cs="Times New Roman"/>
        </w:rPr>
        <w:t xml:space="preserve"> No. 48918</w:t>
      </w:r>
      <w:r w:rsidR="00C679A0">
        <w:rPr>
          <w:rFonts w:ascii="Times New Roman" w:hAnsi="Times New Roman" w:cs="Times New Roman"/>
        </w:rPr>
        <w:t xml:space="preserve">, </w:t>
      </w:r>
      <w:r w:rsidR="00DA0ADA">
        <w:rPr>
          <w:rFonts w:ascii="Times New Roman" w:hAnsi="Times New Roman" w:cs="Times New Roman"/>
        </w:rPr>
        <w:t>2018 Annual Report</w:t>
      </w:r>
      <w:r w:rsidR="00596669">
        <w:rPr>
          <w:rFonts w:ascii="Times New Roman" w:hAnsi="Times New Roman" w:cs="Times New Roman"/>
        </w:rPr>
        <w:t xml:space="preserve">, </w:t>
      </w:r>
      <w:r w:rsidR="000947D1">
        <w:rPr>
          <w:rFonts w:ascii="Times New Roman" w:hAnsi="Times New Roman" w:cs="Times New Roman"/>
        </w:rPr>
        <w:t>(</w:t>
      </w:r>
      <w:r w:rsidRPr="00B10936">
        <w:rPr>
          <w:rFonts w:ascii="Times New Roman" w:hAnsi="Times New Roman" w:cs="Times New Roman"/>
        </w:rPr>
        <w:t>Apr</w:t>
      </w:r>
      <w:r w:rsidR="009513E7">
        <w:rPr>
          <w:rFonts w:ascii="Times New Roman" w:hAnsi="Times New Roman" w:cs="Times New Roman"/>
        </w:rPr>
        <w:t xml:space="preserve"> </w:t>
      </w:r>
      <w:r w:rsidRPr="00B10936">
        <w:rPr>
          <w:rFonts w:ascii="Times New Roman" w:hAnsi="Times New Roman" w:cs="Times New Roman"/>
        </w:rPr>
        <w:t>20, 2020</w:t>
      </w:r>
      <w:r w:rsidR="000947D1">
        <w:rPr>
          <w:rFonts w:ascii="Times New Roman" w:hAnsi="Times New Roman" w:cs="Times New Roman"/>
        </w:rPr>
        <w:t>)</w:t>
      </w:r>
      <w:r w:rsidR="00596669">
        <w:rPr>
          <w:rFonts w:ascii="Times New Roman" w:hAnsi="Times New Roman" w:cs="Times New Roman"/>
        </w:rPr>
        <w:t>.</w:t>
      </w:r>
    </w:p>
  </w:footnote>
  <w:footnote w:id="4">
    <w:p w14:paraId="18D11405" w14:textId="29D106E0" w:rsidR="00A070DD" w:rsidRPr="00CB32A6" w:rsidRDefault="00A070DD" w:rsidP="00CB32A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B32A6">
        <w:rPr>
          <w:rStyle w:val="FootnoteReference"/>
          <w:rFonts w:ascii="Times New Roman" w:hAnsi="Times New Roman" w:cs="Times New Roman"/>
        </w:rPr>
        <w:footnoteRef/>
      </w:r>
      <w:r w:rsidRPr="00CB32A6">
        <w:rPr>
          <w:rFonts w:ascii="Times New Roman" w:hAnsi="Times New Roman" w:cs="Times New Roman"/>
        </w:rPr>
        <w:t xml:space="preserve"> </w:t>
      </w:r>
      <w:r w:rsidR="006973F3">
        <w:rPr>
          <w:rFonts w:ascii="Times New Roman" w:hAnsi="Times New Roman" w:cs="Times New Roman"/>
        </w:rPr>
        <w:t xml:space="preserve"> </w:t>
      </w:r>
      <w:r w:rsidRPr="00CB32A6">
        <w:rPr>
          <w:rFonts w:ascii="Times New Roman" w:hAnsi="Times New Roman" w:cs="Times New Roman"/>
        </w:rPr>
        <w:t xml:space="preserve">2019 Annual </w:t>
      </w:r>
      <w:r w:rsidRPr="00755EE6">
        <w:rPr>
          <w:rFonts w:ascii="Times New Roman" w:hAnsi="Times New Roman" w:cs="Times New Roman"/>
        </w:rPr>
        <w:t xml:space="preserve">Report at </w:t>
      </w:r>
      <w:r w:rsidR="00755EE6">
        <w:rPr>
          <w:rFonts w:ascii="Times New Roman" w:hAnsi="Times New Roman" w:cs="Times New Roman"/>
        </w:rPr>
        <w:t>3</w:t>
      </w:r>
      <w:r w:rsidRPr="00CB32A6">
        <w:rPr>
          <w:rFonts w:ascii="Times New Roman" w:hAnsi="Times New Roman" w:cs="Times New Roman"/>
        </w:rPr>
        <w:t>.</w:t>
      </w:r>
    </w:p>
  </w:footnote>
  <w:footnote w:id="5">
    <w:p w14:paraId="160298D7" w14:textId="53017745" w:rsidR="00A070DD" w:rsidRPr="00755EE6" w:rsidRDefault="00A070DD" w:rsidP="00CB32A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B32A6">
        <w:rPr>
          <w:rStyle w:val="FootnoteReference"/>
          <w:rFonts w:ascii="Times New Roman" w:hAnsi="Times New Roman" w:cs="Times New Roman"/>
        </w:rPr>
        <w:footnoteRef/>
      </w:r>
      <w:r w:rsidRPr="00CB32A6">
        <w:rPr>
          <w:rFonts w:ascii="Times New Roman" w:hAnsi="Times New Roman" w:cs="Times New Roman"/>
        </w:rPr>
        <w:t xml:space="preserve"> </w:t>
      </w:r>
      <w:r w:rsidR="006973F3">
        <w:rPr>
          <w:rFonts w:ascii="Times New Roman" w:hAnsi="Times New Roman" w:cs="Times New Roman"/>
        </w:rPr>
        <w:t xml:space="preserve"> </w:t>
      </w:r>
      <w:r w:rsidRPr="00CB32A6">
        <w:rPr>
          <w:rFonts w:ascii="Times New Roman" w:hAnsi="Times New Roman" w:cs="Times New Roman"/>
        </w:rPr>
        <w:t xml:space="preserve">2018 Annual </w:t>
      </w:r>
      <w:r w:rsidRPr="00755EE6">
        <w:rPr>
          <w:rFonts w:ascii="Times New Roman" w:hAnsi="Times New Roman" w:cs="Times New Roman"/>
        </w:rPr>
        <w:t xml:space="preserve">Report at </w:t>
      </w:r>
      <w:r w:rsidR="00755EE6">
        <w:rPr>
          <w:rFonts w:ascii="Times New Roman" w:hAnsi="Times New Roman" w:cs="Times New Roman"/>
        </w:rPr>
        <w:t>3</w:t>
      </w:r>
      <w:r w:rsidRPr="00755EE6">
        <w:rPr>
          <w:rFonts w:ascii="Times New Roman" w:hAnsi="Times New Roman" w:cs="Times New Roman"/>
        </w:rPr>
        <w:t>.</w:t>
      </w:r>
    </w:p>
  </w:footnote>
  <w:footnote w:id="6">
    <w:p w14:paraId="7EE4C485" w14:textId="70A31396" w:rsidR="00A070DD" w:rsidRPr="00CB32A6" w:rsidRDefault="00A070DD" w:rsidP="00CB32A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755EE6">
        <w:rPr>
          <w:rStyle w:val="FootnoteReference"/>
          <w:rFonts w:ascii="Times New Roman" w:hAnsi="Times New Roman" w:cs="Times New Roman"/>
        </w:rPr>
        <w:footnoteRef/>
      </w:r>
      <w:r w:rsidRPr="00755EE6">
        <w:rPr>
          <w:rFonts w:ascii="Times New Roman" w:hAnsi="Times New Roman" w:cs="Times New Roman"/>
        </w:rPr>
        <w:t xml:space="preserve"> </w:t>
      </w:r>
      <w:r w:rsidR="006973F3">
        <w:rPr>
          <w:rFonts w:ascii="Times New Roman" w:hAnsi="Times New Roman" w:cs="Times New Roman"/>
        </w:rPr>
        <w:t xml:space="preserve"> </w:t>
      </w:r>
      <w:r w:rsidRPr="00755EE6">
        <w:rPr>
          <w:rFonts w:ascii="Times New Roman" w:hAnsi="Times New Roman" w:cs="Times New Roman"/>
        </w:rPr>
        <w:t xml:space="preserve">2019 Annual Report at </w:t>
      </w:r>
      <w:r w:rsidR="002162E8">
        <w:rPr>
          <w:rFonts w:ascii="Times New Roman" w:hAnsi="Times New Roman" w:cs="Times New Roman"/>
        </w:rPr>
        <w:t>2</w:t>
      </w:r>
      <w:r w:rsidRPr="00CB32A6">
        <w:rPr>
          <w:rFonts w:ascii="Times New Roman" w:hAnsi="Times New Roman" w:cs="Times New Roman"/>
        </w:rPr>
        <w:t>.</w:t>
      </w:r>
    </w:p>
  </w:footnote>
  <w:footnote w:id="7">
    <w:p w14:paraId="71AB3A20" w14:textId="1677BD02" w:rsidR="00A070DD" w:rsidRPr="00CB32A6" w:rsidRDefault="00A070DD" w:rsidP="00CB32A6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CB32A6">
        <w:rPr>
          <w:rStyle w:val="FootnoteReference"/>
          <w:rFonts w:ascii="Times New Roman" w:hAnsi="Times New Roman" w:cs="Times New Roman"/>
        </w:rPr>
        <w:footnoteRef/>
      </w:r>
      <w:r w:rsidR="000947D1">
        <w:rPr>
          <w:rFonts w:ascii="Times New Roman" w:hAnsi="Times New Roman" w:cs="Times New Roman"/>
        </w:rPr>
        <w:t xml:space="preserve"> </w:t>
      </w:r>
      <w:r w:rsidRPr="00CB32A6">
        <w:rPr>
          <w:rFonts w:ascii="Times New Roman" w:hAnsi="Times New Roman" w:cs="Times New Roman"/>
        </w:rPr>
        <w:t xml:space="preserve"> </w:t>
      </w:r>
      <w:r w:rsidRPr="00CB32A6">
        <w:rPr>
          <w:rFonts w:ascii="Times New Roman" w:hAnsi="Times New Roman" w:cs="Times New Roman"/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1D715" w14:textId="7B600C47" w:rsidR="00D87727" w:rsidRDefault="00D87727">
    <w:pPr>
      <w:pStyle w:val="Header"/>
    </w:pPr>
    <w:r>
      <w:t xml:space="preserve">Docket No. 51128 – Guerrero </w:t>
    </w:r>
    <w:r w:rsidR="0000791A">
      <w:t>M</w:t>
    </w:r>
    <w:r>
      <w:t>emo</w:t>
    </w:r>
  </w:p>
  <w:p w14:paraId="2B00E6D8" w14:textId="4049291A" w:rsidR="00DA36E8" w:rsidRDefault="00D87727">
    <w:pPr>
      <w:pStyle w:val="Header"/>
    </w:pPr>
    <w:r>
      <w:t>October 20, 2020</w:t>
    </w:r>
    <w:r>
      <w:ptab w:relativeTo="margin" w:alignment="center" w:leader="none"/>
    </w:r>
    <w:r>
      <w:ptab w:relativeTo="margin" w:alignment="right" w:leader="none"/>
    </w:r>
    <w:r>
      <w:t>Page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AE29B72"/>
    <w:lvl w:ilvl="0">
      <w:numFmt w:val="decimal"/>
      <w:pStyle w:val="bulletfor11"/>
      <w:lvlText w:val="*"/>
      <w:lvlJc w:val="left"/>
    </w:lvl>
  </w:abstractNum>
  <w:abstractNum w:abstractNumId="1" w15:restartNumberingAfterBreak="0">
    <w:nsid w:val="2E146EB1"/>
    <w:multiLevelType w:val="hybridMultilevel"/>
    <w:tmpl w:val="3F96C716"/>
    <w:lvl w:ilvl="0" w:tplc="0A84B11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lvl w:ilvl="0">
        <w:start w:val="1"/>
        <w:numFmt w:val="bullet"/>
        <w:pStyle w:val="bulletfor11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791A"/>
    <w:rsid w:val="000947D1"/>
    <w:rsid w:val="000A4426"/>
    <w:rsid w:val="000B0F29"/>
    <w:rsid w:val="00105B78"/>
    <w:rsid w:val="001240E7"/>
    <w:rsid w:val="001A1ABC"/>
    <w:rsid w:val="002162E8"/>
    <w:rsid w:val="00247AE0"/>
    <w:rsid w:val="00270274"/>
    <w:rsid w:val="0028111B"/>
    <w:rsid w:val="002F17C2"/>
    <w:rsid w:val="00323964"/>
    <w:rsid w:val="0032516B"/>
    <w:rsid w:val="00380145"/>
    <w:rsid w:val="003C5A06"/>
    <w:rsid w:val="004103B6"/>
    <w:rsid w:val="004249AC"/>
    <w:rsid w:val="0049204D"/>
    <w:rsid w:val="004A2378"/>
    <w:rsid w:val="004A278E"/>
    <w:rsid w:val="004F46F2"/>
    <w:rsid w:val="00503A67"/>
    <w:rsid w:val="005157C6"/>
    <w:rsid w:val="00550B09"/>
    <w:rsid w:val="00596669"/>
    <w:rsid w:val="005B119B"/>
    <w:rsid w:val="005B4C1C"/>
    <w:rsid w:val="005E0F19"/>
    <w:rsid w:val="00603015"/>
    <w:rsid w:val="00693C0C"/>
    <w:rsid w:val="006973F3"/>
    <w:rsid w:val="006A75D0"/>
    <w:rsid w:val="006B4B3C"/>
    <w:rsid w:val="006F50CF"/>
    <w:rsid w:val="00755EE6"/>
    <w:rsid w:val="007917C2"/>
    <w:rsid w:val="007E4EE0"/>
    <w:rsid w:val="00814353"/>
    <w:rsid w:val="008262FF"/>
    <w:rsid w:val="008C310E"/>
    <w:rsid w:val="008C469B"/>
    <w:rsid w:val="0091083F"/>
    <w:rsid w:val="009513E7"/>
    <w:rsid w:val="0099456E"/>
    <w:rsid w:val="00997227"/>
    <w:rsid w:val="009D34D5"/>
    <w:rsid w:val="009D641B"/>
    <w:rsid w:val="00A070DD"/>
    <w:rsid w:val="00A7691E"/>
    <w:rsid w:val="00B10936"/>
    <w:rsid w:val="00B16D26"/>
    <w:rsid w:val="00B33DDD"/>
    <w:rsid w:val="00B56DD2"/>
    <w:rsid w:val="00BC1A7A"/>
    <w:rsid w:val="00BC4F50"/>
    <w:rsid w:val="00C2311A"/>
    <w:rsid w:val="00C61997"/>
    <w:rsid w:val="00C679A0"/>
    <w:rsid w:val="00C81D90"/>
    <w:rsid w:val="00CB32A6"/>
    <w:rsid w:val="00D22E0E"/>
    <w:rsid w:val="00D87727"/>
    <w:rsid w:val="00DA0ADA"/>
    <w:rsid w:val="00DA36E8"/>
    <w:rsid w:val="00E00F77"/>
    <w:rsid w:val="00EA5690"/>
    <w:rsid w:val="00F3142D"/>
    <w:rsid w:val="00F923B2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2E0E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2E0E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22E0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679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9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9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9A0"/>
    <w:rPr>
      <w:b/>
      <w:bCs/>
    </w:rPr>
  </w:style>
  <w:style w:type="paragraph" w:styleId="Revision">
    <w:name w:val="Revision"/>
    <w:hidden/>
    <w:uiPriority w:val="99"/>
    <w:semiHidden/>
    <w:rsid w:val="005157C6"/>
  </w:style>
  <w:style w:type="paragraph" w:styleId="ListParagraph">
    <w:name w:val="List Paragraph"/>
    <w:basedOn w:val="Normal"/>
    <w:uiPriority w:val="34"/>
    <w:qFormat/>
    <w:rsid w:val="00B16D26"/>
    <w:pPr>
      <w:ind w:left="720"/>
      <w:contextualSpacing/>
    </w:pPr>
  </w:style>
  <w:style w:type="character" w:customStyle="1" w:styleId="bulletfor11Char">
    <w:name w:val="bullet for 1.1 Char"/>
    <w:basedOn w:val="DefaultParagraphFont"/>
    <w:link w:val="bulletfor11"/>
    <w:rsid w:val="0049204D"/>
  </w:style>
  <w:style w:type="paragraph" w:customStyle="1" w:styleId="bulletfor11">
    <w:name w:val="bullet for 1.1"/>
    <w:basedOn w:val="Normal"/>
    <w:link w:val="bulletfor11Char"/>
    <w:qFormat/>
    <w:rsid w:val="0049204D"/>
    <w:pPr>
      <w:numPr>
        <w:numId w:val="1"/>
      </w:numPr>
      <w:spacing w:after="60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492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26EFBFE829647DAAF3967F40283D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7CE9D-AF4C-43C7-BC71-22FC476539C3}"/>
      </w:docPartPr>
      <w:docPartBody>
        <w:p w:rsidR="00A55125" w:rsidRDefault="008803C3" w:rsidP="008803C3">
          <w:pPr>
            <w:pStyle w:val="C26EFBFE829647DAAF3967F40283D8A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18B4ED4C67A4681A5F9EB06B4892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31C1C-8444-4399-804C-6AEAC6D8DC6D}"/>
      </w:docPartPr>
      <w:docPartBody>
        <w:p w:rsidR="00A55125" w:rsidRDefault="008803C3" w:rsidP="008803C3">
          <w:pPr>
            <w:pStyle w:val="518B4ED4C67A4681A5F9EB06B489242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3C3"/>
    <w:rsid w:val="002E6B30"/>
    <w:rsid w:val="00444DA6"/>
    <w:rsid w:val="006A679E"/>
    <w:rsid w:val="006B3110"/>
    <w:rsid w:val="00736A52"/>
    <w:rsid w:val="008803C3"/>
    <w:rsid w:val="00920285"/>
    <w:rsid w:val="00A55125"/>
    <w:rsid w:val="00C440AA"/>
    <w:rsid w:val="00D7592C"/>
    <w:rsid w:val="00E9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03C3"/>
    <w:rPr>
      <w:color w:val="808080"/>
    </w:rPr>
  </w:style>
  <w:style w:type="paragraph" w:customStyle="1" w:styleId="C26EFBFE829647DAAF3967F40283D8A3">
    <w:name w:val="C26EFBFE829647DAAF3967F40283D8A3"/>
    <w:rsid w:val="008803C3"/>
  </w:style>
  <w:style w:type="paragraph" w:customStyle="1" w:styleId="518B4ED4C67A4681A5F9EB06B489242C">
    <w:name w:val="518B4ED4C67A4681A5F9EB06B489242C"/>
    <w:rsid w:val="008803C3"/>
  </w:style>
  <w:style w:type="paragraph" w:customStyle="1" w:styleId="D4775F40C8D84456BB0CF06DA6845716">
    <w:name w:val="D4775F40C8D84456BB0CF06DA6845716"/>
    <w:rsid w:val="00E9676C"/>
  </w:style>
  <w:style w:type="paragraph" w:customStyle="1" w:styleId="1DEA41FE59D24DB994615F04EEE50F6D">
    <w:name w:val="1DEA41FE59D24DB994615F04EEE50F6D"/>
    <w:rsid w:val="00E967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57FCE-75EE-4572-9D5C-3FEE206C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2020-10-20T13:59:00Z</dcterms:created>
  <dcterms:modified xsi:type="dcterms:W3CDTF">2020-10-20T14:16:00Z</dcterms:modified>
</cp:coreProperties>
</file>